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АДМИНИСТРАЦИЯ </w:t>
      </w:r>
    </w:p>
    <w:p>
      <w:pPr>
        <w:pStyle w:val="Normal"/>
        <w:spacing w:lineRule="auto" w:line="240" w:before="0" w:after="0"/>
        <w:jc w:val="center"/>
        <w:rPr>
          <w:b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ВЕРХНЕЛЮБАЖСКОГО СЕЛЬСОВЕТА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ФАТЕЖСКОГО РАЙОНА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b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РАСПОРЯЖЕНИЕ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b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 15 октября 2019года                                                                         № 65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b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утверждении Методики планирования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бюджетных ассигнований муниципального образования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«Верхнелюбажский сельсовет» Фатежского района</w:t>
      </w:r>
    </w:p>
    <w:p>
      <w:pPr>
        <w:pStyle w:val="Normal"/>
        <w:spacing w:lineRule="auto" w:line="240" w:before="0" w:after="0"/>
        <w:jc w:val="both"/>
        <w:rPr>
          <w:b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Курской области на 2020 год и плановый период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2021 и 2022 годов</w:t>
      </w:r>
    </w:p>
    <w:p>
      <w:pPr>
        <w:pStyle w:val="Normal"/>
        <w:spacing w:lineRule="auto" w:line="240" w:before="0" w:after="0"/>
        <w:jc w:val="both"/>
        <w:rPr>
          <w:b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В соответствии со статьей 174.2 Бюджетного кодекса Российской Федерации, Положением о бюджетном процессе в муниципальном образовании «Верхнелюбажский сельсовет» Фатежского района Курской области, утвержденного решением Собрания депутатов Верхнелюбажского сельсовета Фатежского района Курской области от «27» мая 2019 года№186 «О внесении изменений в положение о бюджетном процессе    в                                                                          муниципальном образовании «Верхнелюбажский сельсовет»                                                                  Фатежского района Курской области,  утвержденное  решением Собрания депутатов Верхнелюбажского сельсовета Фатежского района  от 18 декабря 2013 года № 156  «Об утверждении Положения о бюджетном процессе в муниципальном образовании «Верхнелюбажский сельсовет» Фатежского района Курской области».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  1. Утвердить Методику планирования бюджетных ассигнований муниципального образования «Верхнелюбажский сельсовет» Фатежского района Курской области на 2020 год и плановый период 2021 и 2022 годов согласно приложению.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2. Контроль за выполнением настоящего распоряжения оставляю за собой.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3.Настоящее распоряжение вступает в силу со дня его подписания.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Верхнелюбажского сельсовета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Фатежского района                                                                      Е. М. Чуйкова</w:t>
      </w: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jc w:val="right"/>
        <w:rPr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Приложение</w:t>
      </w:r>
    </w:p>
    <w:p>
      <w:pPr>
        <w:pStyle w:val="Normal"/>
        <w:spacing w:lineRule="auto" w:line="240" w:before="0" w:after="0"/>
        <w:ind w:left="5669" w:hanging="4706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распоряжению Администрации</w:t>
      </w:r>
    </w:p>
    <w:p>
      <w:pPr>
        <w:pStyle w:val="Normal"/>
        <w:spacing w:lineRule="auto" w:line="240" w:before="0" w:after="0"/>
        <w:ind w:left="5669" w:hanging="4706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>Верхнелюбажского сельсовета Фатежского района</w:t>
      </w:r>
    </w:p>
    <w:p>
      <w:pPr>
        <w:pStyle w:val="Normal"/>
        <w:spacing w:lineRule="auto" w:line="240" w:before="0" w:after="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15.10. 2019г. № 65</w:t>
      </w:r>
    </w:p>
    <w:p>
      <w:pPr>
        <w:pStyle w:val="Normal"/>
        <w:spacing w:lineRule="auto" w:line="240" w:before="0" w:after="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«Об утверждении Методики планирования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бюджетных ассигнований муниципального образования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«Верхнелюбажский сельсовет» Фатежского района</w:t>
      </w:r>
    </w:p>
    <w:p>
      <w:pPr>
        <w:pStyle w:val="Normal"/>
        <w:spacing w:lineRule="auto" w:line="240" w:before="0" w:after="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Курской области на 2020 год и плановый период </w:t>
      </w:r>
    </w:p>
    <w:p>
      <w:pPr>
        <w:pStyle w:val="Normal"/>
        <w:spacing w:lineRule="auto" w:line="240" w:before="0" w:after="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2021 и 2022 годов»   </w:t>
      </w:r>
    </w:p>
    <w:p>
      <w:pPr>
        <w:pStyle w:val="ConsPlusNonformat"/>
        <w:ind w:firstLine="6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ind w:firstLine="6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ConsPlusNonformat"/>
        <w:ind w:firstLine="6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right="8" w:hanging="0"/>
        <w:jc w:val="center"/>
        <w:rPr>
          <w:rFonts w:ascii="Times New Roman" w:hAnsi="Times New Roman"/>
          <w:b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0000"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планирования  бюджетных ассигнований муниципального образования                    «Верхнелюбажский сельсовет» Фатежского района Курской области      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на 2020 год и плановый период 2021 и 2022 годов.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/>
          <w:b/>
          <w:b/>
          <w:bCs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0"/>
          <w:sz w:val="28"/>
          <w:szCs w:val="28"/>
        </w:rPr>
      </w:r>
    </w:p>
    <w:p>
      <w:pPr>
        <w:pStyle w:val="Style17"/>
        <w:spacing w:lineRule="auto" w:line="240" w:before="0" w:after="0"/>
        <w:ind w:right="57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В основу прогноза расходов бюджета муниципального образования «Верхнелюбажский сельсовет» Фатежского района Курской области положены: Федеральные законы от 31 июля 1998 г. № 145-ФЗ «Бюджетный кодекс Российской Федерации» (с учетом изменений и дополнений),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 учетом изменений и дополнений), от 6 октября 2003 г. № 131-ФЗ «Об общих принципах организации местного самоуправления в Российской Федерации» (с учетом изменений и дополнений), Посланием Президента Российской Федерации Федеральному Собранию Российской Федерации, приказ Министерства финансов Российской Федерации от 1 июля 2013 года № 65н «Об утверждении Указаний о порядке применения бюджетной классификации Российской Федерации» ( с учетом изменений и дополнений), Основные направления бюджетной и налоговой  политики в Верхнелюбажском сельсовете на 2020 год и плановый период 2021 и 2022 годов, утвержденные  Постановлением </w:t>
      </w:r>
      <w:r>
        <w:rPr>
          <w:rFonts w:ascii="Times New Roman" w:hAnsi="Times New Roman"/>
          <w:color w:val="000000"/>
          <w:sz w:val="28"/>
          <w:szCs w:val="28"/>
        </w:rPr>
        <w:t>главы Верхнелюбажского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№190 от 11.10.2019 года, Указания об установлении 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«Верхнелюбажский сельсовет» Фатежского района Курской области, утвержденные  Распоряжение </w:t>
      </w:r>
      <w:r>
        <w:rPr>
          <w:rFonts w:ascii="Times New Roman" w:hAnsi="Times New Roman"/>
          <w:color w:val="000000"/>
          <w:sz w:val="28"/>
          <w:szCs w:val="28"/>
        </w:rPr>
        <w:t>главы Верхнелюбажского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№62 от 11.10.2019 года, а также проект закона Курской области «Об областном бюджете на 2020 год и плановый период 2021 и 2022 годов».</w:t>
      </w:r>
    </w:p>
    <w:p>
      <w:pPr>
        <w:pStyle w:val="Style17"/>
        <w:spacing w:lineRule="auto" w:line="240" w:before="0" w:after="0"/>
        <w:ind w:right="57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/>
      </w:r>
    </w:p>
    <w:p>
      <w:pPr>
        <w:pStyle w:val="ConsNormal1"/>
        <w:ind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b/>
          <w:sz w:val="28"/>
          <w:szCs w:val="28"/>
        </w:rPr>
        <w:t>. Общие подходы к планированию бюджетных ассигнований местного бюджета на 2019 год и плановый период 2020 и 2021 годов.</w:t>
      </w:r>
    </w:p>
    <w:p>
      <w:pPr>
        <w:pStyle w:val="ConsNormal1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 основу формирования расходов местного бюджета на 2020 год и плановый период 2021 и 2022 годов приняты уточненные бюджетные ассигнования по состоянию на 01.10.2019 года.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Планирование расходов местного бюджета на 2020 год и плановый период 2021 и 2022 годов осуществлялось в рамках муниципальных программ Верхнелюбажского сельсовета Фатежского района и не программных мероприятий.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Формирование объема и структуры расходов местного бюджета на 2020 год и плановый период 2021 и 2022 годов осуществлялось исходя из следующих основных подходов: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исключение расходов,  производимых в 2019 году в соответствии с разовыми решениями о финансировании из местного бюджета, и расходов на реализацию решений, срок действий которых завершается.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ind w:firstLine="684"/>
        <w:jc w:val="center"/>
        <w:rPr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Планирование расходов местного бюджета на:</w:t>
      </w:r>
    </w:p>
    <w:p>
      <w:pPr>
        <w:pStyle w:val="Normal"/>
        <w:spacing w:lineRule="auto" w:line="240" w:before="0" w:after="0"/>
        <w:ind w:firstLine="684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1) оплату труда  работников администрации осуществлялось исходя из утвержденной структуры, действующих на 1 октября  2019 года, нормативных актов Вернелюбажского сельсовета Фатежского района;</w:t>
      </w:r>
    </w:p>
    <w:p>
      <w:pPr>
        <w:pStyle w:val="Normal"/>
        <w:spacing w:lineRule="auto" w:line="240" w:before="0" w:after="0"/>
        <w:ind w:firstLine="684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2) текущее содержание органов муниципального образования «Верхнелюбажский сельсовет» Фатежского района Курской области - исходя их общих подходов к расчету бюджетных проектировок, а также установленных для муниципального образования нормативов формирования расходов на содержание органов местного самоуправления;</w:t>
      </w:r>
    </w:p>
    <w:p>
      <w:pPr>
        <w:pStyle w:val="Normal"/>
        <w:spacing w:lineRule="auto" w:line="240" w:before="0" w:after="0"/>
        <w:ind w:firstLine="6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 осуществление социальных выплат и мер социальной поддержки отдельным категориям граждан производилось в соответствии с действующим законодательством, исходя из ожидаемой численности получателей, с учетом ее изменения, и размеров выплат.</w:t>
      </w:r>
    </w:p>
    <w:p>
      <w:pPr>
        <w:pStyle w:val="Normal"/>
        <w:spacing w:lineRule="auto" w:line="240" w:before="0" w:after="0"/>
        <w:ind w:firstLine="684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При формировании  местного бюджета на 2020 год и плановый период 2021 и 2022 годов применены общие подходы к расчету бюджетных проектировок: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1) по расходам на оплату труда с начислениями, публичным нормативным и приравненным к ним обязательствам, а также на предоставление иных межбюджетных трансфертов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в рамках нормативов формирования расходов на содержание органов местного самоуправления муниципального образования «Верхнелюбажский сельсовет» Фатежского района Курской области;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</w:t>
      </w:r>
      <w:bookmarkStart w:id="0" w:name="__DdeLink__126_3926031074"/>
      <w:r>
        <w:rPr>
          <w:rFonts w:ascii="Times New Roman" w:hAnsi="Times New Roman"/>
          <w:color w:val="000000"/>
          <w:sz w:val="28"/>
          <w:szCs w:val="28"/>
        </w:rPr>
        <w:t xml:space="preserve"> по начислениям на оплату труда в соответствии с установленными Федеральными законами от 24.07.2009 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и от 28.11.2009 г. № 297-ФЗ «О страховых тарифах на обязательное социальное страхование от несчастных случаев на производстве и профессиональных заболеваний  тарифами страховых взносов в государственные внебюджетные фонды в размере 30,2 %;</w:t>
      </w:r>
      <w:bookmarkEnd w:id="0"/>
    </w:p>
    <w:p>
      <w:pPr>
        <w:pStyle w:val="ConsNormal1"/>
        <w:ind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3) расходы на реализацию целевых программ учтены в соответствии с объемами, определенными на их реализацию нормативно-правовыми актами, с учетом оценки эффективности реализации целевых программ в 2019 году;</w:t>
      </w:r>
    </w:p>
    <w:p>
      <w:pPr>
        <w:pStyle w:val="Style17"/>
        <w:spacing w:lineRule="auto" w:line="240" w:before="0" w:after="0"/>
        <w:ind w:left="20" w:right="20" w:hanging="77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4) бюджетные ассигнования, финансовое обеспечение которых осуществляется за счет средств федерального бюджета в виде целевых субвенций и субсидий, предусматриваются в объемах, отраженных в проекте закона Курской области «Об областном бюджете на 2020 год и плановый период 2021 и 2022 годов» на момент формирования местного бюджета.</w:t>
      </w:r>
    </w:p>
    <w:p>
      <w:pPr>
        <w:pStyle w:val="ConsNormal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0000"/>
          <w:sz w:val="28"/>
          <w:szCs w:val="28"/>
        </w:rPr>
        <w:t>Отдельные особенности формирования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caps/>
          <w:color w:val="000000"/>
          <w:sz w:val="28"/>
          <w:szCs w:val="28"/>
        </w:rPr>
        <w:t>БЮДЖЕТА  МУНИЦИПАЛЬНОГО ОБРАЗОВАНИЯ                               «ВЕРХНЕЛЮБАЖСКИЙ СЕЛЬСОВЕТ»                                                                                 ФАТЕЖСКОГО РАЙОНА КУРСКОЙ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caps/>
          <w:color w:val="000000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 учетом отдельных особенностей планировались расходы                           местного бюджета</w:t>
      </w:r>
    </w:p>
    <w:p>
      <w:pPr>
        <w:pStyle w:val="Normal"/>
        <w:spacing w:lineRule="auto" w:line="240" w:before="0" w:after="0"/>
        <w:ind w:firstLine="855"/>
        <w:jc w:val="center"/>
        <w:rPr>
          <w:rFonts w:ascii="Times New Roman" w:hAnsi="Times New Roman"/>
          <w:b/>
          <w:b/>
          <w:i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>
      <w:pPr>
        <w:pStyle w:val="Normal"/>
        <w:spacing w:lineRule="auto" w:line="240" w:before="0" w:after="0"/>
        <w:ind w:firstLine="855"/>
        <w:jc w:val="center"/>
        <w:rPr>
          <w:rFonts w:ascii="Times New Roman" w:hAnsi="Times New Roman"/>
          <w:b/>
          <w:b/>
          <w:i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Подраздел 0104 «Функционирование Правительства Россий</w:t>
        <w:softHyphen/>
        <w:t>ской Федерации, высших исполнительных органов государственной власти субъектов  Российской Федерации,  местных администраций»</w:t>
      </w:r>
    </w:p>
    <w:p>
      <w:pPr>
        <w:pStyle w:val="Normal"/>
        <w:spacing w:lineRule="auto" w:line="240" w:before="0" w:after="0"/>
        <w:ind w:firstLine="85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данным подразделам планируются расходы на содержание главы органов местного самоуправления (0102) и на содержание местных администраций (0104).</w:t>
      </w:r>
    </w:p>
    <w:p>
      <w:pPr>
        <w:pStyle w:val="Normal"/>
        <w:spacing w:lineRule="auto" w:line="240" w:before="0" w:after="0"/>
        <w:ind w:firstLine="85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планировании данных расходов в основу положены прогнозные расходы в пределах норматива на содержание органов местного самоуправления.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Подраздел 0106 «Обеспечение деятельности финансовых,             налоговых и таможенных органов и органов финансового                       (финансово-бюджетного) надзора»</w:t>
      </w:r>
    </w:p>
    <w:p>
      <w:pPr>
        <w:pStyle w:val="Normal"/>
        <w:spacing w:lineRule="auto" w:line="240" w:before="0" w:after="0"/>
        <w:ind w:firstLine="85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данному подразделу планируются расходы согласно собрания депутатов Верхнелюбажского сельсовета Фатежского района Курской области №59 от 15 ноября 2016 года «О передаче Администрации Фатежского Курской области полномочий Администрации Верхнелюбажского сельсовета Фатежского района по осуществлению внешнего муниципального финансового контроля и Соглашения о передаче полномочий по осуществлению внешнего финансового контроля №08 21декабря 2015г.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Подраздел 0111 «Резервные фонды»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данному подразделу планируется резервный фонд, средства которого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Подраздел 0113 «Другие общегосударственные вопросы»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данному подразделу планируются расходы на выполнение других общегосударственных вопросов:</w:t>
      </w:r>
    </w:p>
    <w:p>
      <w:pPr>
        <w:pStyle w:val="Normal"/>
        <w:spacing w:lineRule="auto" w:line="240" w:before="0" w:after="0"/>
        <w:ind w:firstLine="85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1)Реализация государственных функций, связанных с общегосударственным управлением;</w:t>
      </w:r>
    </w:p>
    <w:p>
      <w:pPr>
        <w:pStyle w:val="Normal"/>
        <w:spacing w:lineRule="auto" w:line="240" w:before="0" w:after="0"/>
        <w:ind w:firstLine="85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2)Реализация мероприятий по распространению официальной информации;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3)Расходы на обеспечение деятельности муниципального казенного учреждения, не вошедшего в программные мероприятия (МКУ «Управление хозяйственного обслуживания Верхнелюбажского сельсовета Фатежского района».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Подраздел 0203 «Мобилизационная и вневойсковая подготовка»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По данному разделу предусмотрены расходы на осуществление  первичного воинского учета на территориях, где отсутствуют военные комиссариаты, за счет средств федерального бюджета на 2020 год и плановый период 2021 и 2022 годов.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bCs/>
          <w:i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Подраздел 0310  «Обеспечение пожарной безопасности»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данному подразделу предусмотрены расходы на защиту населения и территории от чрезвычайных ситуаций, обеспечение пожарной безопасности и безопасности людей на водных объектах.</w:t>
      </w:r>
    </w:p>
    <w:p>
      <w:pPr>
        <w:pStyle w:val="Style23"/>
        <w:spacing w:lineRule="auto" w:line="240" w:before="0" w:after="0"/>
        <w:ind w:hanging="0"/>
        <w:jc w:val="center"/>
        <w:rPr/>
      </w:pPr>
      <w:r>
        <w:rPr>
          <w:b/>
          <w:i/>
        </w:rPr>
        <w:t>Подраздел 0801 «Культура»</w:t>
      </w:r>
    </w:p>
    <w:p>
      <w:pPr>
        <w:pStyle w:val="ConsNormal1"/>
        <w:widowControl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Cs/>
          <w:spacing w:val="-15"/>
          <w:sz w:val="28"/>
          <w:szCs w:val="28"/>
        </w:rPr>
        <w:tab/>
        <w:t>По данному разделу планируются расходы на создание условий для организации досуга и обеспечение жителей услугами организаций культуры</w:t>
      </w:r>
      <w:r>
        <w:rPr>
          <w:rFonts w:cs="Times New Roman" w:ascii="Times New Roman" w:hAnsi="Times New Roman"/>
          <w:sz w:val="28"/>
          <w:szCs w:val="28"/>
        </w:rPr>
        <w:t>:</w:t>
      </w:r>
    </w:p>
    <w:p>
      <w:pPr>
        <w:pStyle w:val="ConsNormal"/>
        <w:widowControl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color w:val="191919"/>
          <w:sz w:val="28"/>
          <w:szCs w:val="28"/>
        </w:rPr>
        <w:t>- по заработной плате работникам казенных учреждений культуры на основании Указа Президента Российской Федерации от 7 мая 2012года №597 «О мероприятиях по реализации государственной социальной политики», в  соответствии с Постановлением Правительства Российской Федерации от 14.09.2015 г. №973 «О совершенствовании статистического учета в связи с  включением в официальную статистическую информацию показателя среднемесячной начисленной заработной платы наемных работников в  организациях, у индивидуальных предпринимателей и физических лиц (среднемесячный доход от трудовой деятельности», согласно постановления №35 от 06 марта 2017 года «О мерах по поэтапному повышению заработной платы в целях реализации мер, предусматривающих поэтапное повышение заработной платы работников муниципальных казенных учреждений культуры, в соответствии с п.2 пп.1 раздела 4 Плана мероприятий («дорожная карта») «Изменения в отраслях социальной сферы, направленные на повышение эффективности сферы культуры»;</w:t>
      </w:r>
    </w:p>
    <w:p>
      <w:pPr>
        <w:pStyle w:val="Style23"/>
        <w:spacing w:lineRule="auto" w:line="240" w:before="0" w:after="0"/>
        <w:ind w:firstLine="567"/>
        <w:rPr/>
      </w:pPr>
      <w:r>
        <w:rPr/>
        <w:t>-  по начислениям на оплату труда в соответствии с установленными Федеральными законами от 24.07.2009 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и от 28.11.2009 г. № 297-ФЗ «О страховых тарифах на обязательное социальное страхование от несчастных случаев на производстве и профессиональных заболеваний  тарифами страховых взносов в государственные внебюджетные фонды в размере 30,2 %.</w:t>
      </w:r>
    </w:p>
    <w:p>
      <w:pPr>
        <w:pStyle w:val="Style23"/>
        <w:spacing w:lineRule="auto" w:line="240" w:before="0" w:after="0"/>
        <w:ind w:hanging="0"/>
        <w:jc w:val="center"/>
        <w:rPr>
          <w:i/>
          <w:i/>
        </w:rPr>
      </w:pPr>
      <w:r>
        <w:rPr>
          <w:b/>
          <w:i/>
        </w:rPr>
        <w:t>Подраздел 1001 «Пенсионное обеспечение»</w:t>
      </w:r>
    </w:p>
    <w:p>
      <w:pPr>
        <w:pStyle w:val="ConsPlusNormal"/>
        <w:tabs>
          <w:tab w:val="left" w:pos="600" w:leader="none"/>
          <w:tab w:val="left" w:pos="7088" w:leader="none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данному подразделу предусмотрены расходы на доплаты к трудовым пенсиям и пенсиям за выслугу лет лицам, замещавшим выборные должности и муниципальные должности в муниципальном образовании объем которых планируется, исходя из численности получателей и среднего размера выплат на одного получателя.</w:t>
      </w:r>
    </w:p>
    <w:p>
      <w:pPr>
        <w:pStyle w:val="ConsPlusNormal"/>
        <w:tabs>
          <w:tab w:val="left" w:pos="600" w:leader="none"/>
          <w:tab w:val="left" w:pos="7088" w:leader="none"/>
        </w:tabs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 w:customStyle="1">
    <w:name w:val="ListLabel 1"/>
    <w:qFormat/>
    <w:rsid w:val="00ad4056"/>
    <w:rPr>
      <w:rFonts w:ascii="Times New Roman" w:hAnsi="Times New Roman" w:cs="Times New Roman"/>
      <w:sz w:val="28"/>
      <w:szCs w:val="28"/>
    </w:rPr>
  </w:style>
  <w:style w:type="character" w:styleId="Style15" w:customStyle="1">
    <w:name w:val="Интернет-ссылка"/>
    <w:rsid w:val="00ad4056"/>
    <w:rPr>
      <w:color w:val="000080"/>
      <w:u w:val="single"/>
    </w:rPr>
  </w:style>
  <w:style w:type="character" w:styleId="ListLabel2" w:customStyle="1">
    <w:name w:val="ListLabel 2"/>
    <w:qFormat/>
    <w:rsid w:val="00ad4056"/>
    <w:rPr>
      <w:rFonts w:ascii="Times New Roman" w:hAnsi="Times New Roman"/>
      <w:sz w:val="28"/>
      <w:szCs w:val="28"/>
    </w:rPr>
  </w:style>
  <w:style w:type="character" w:styleId="ListLabel3" w:customStyle="1">
    <w:name w:val="ListLabel 3"/>
    <w:qFormat/>
    <w:rsid w:val="00ad4056"/>
    <w:rPr>
      <w:rFonts w:ascii="Times New Roman" w:hAnsi="Times New Roman" w:cs="Times New Roman"/>
      <w:sz w:val="28"/>
      <w:szCs w:val="28"/>
    </w:rPr>
  </w:style>
  <w:style w:type="character" w:styleId="ListLabel4" w:customStyle="1">
    <w:name w:val="ListLabel 4"/>
    <w:qFormat/>
    <w:rsid w:val="00ad4056"/>
    <w:rPr>
      <w:rFonts w:ascii="Times New Roman" w:hAnsi="Times New Roman"/>
      <w:sz w:val="28"/>
      <w:szCs w:val="28"/>
    </w:rPr>
  </w:style>
  <w:style w:type="character" w:styleId="ListLabel5" w:customStyle="1">
    <w:name w:val="ListLabel 5"/>
    <w:qFormat/>
    <w:rsid w:val="00ad4056"/>
    <w:rPr>
      <w:rFonts w:ascii="Times New Roman" w:hAnsi="Times New Roman" w:cs="Times New Roman"/>
      <w:sz w:val="28"/>
      <w:szCs w:val="28"/>
    </w:rPr>
  </w:style>
  <w:style w:type="character" w:styleId="ListLabel6" w:customStyle="1">
    <w:name w:val="ListLabel 6"/>
    <w:qFormat/>
    <w:rsid w:val="00ad4056"/>
    <w:rPr>
      <w:rFonts w:ascii="Times New Roman" w:hAnsi="Times New Roman"/>
      <w:sz w:val="28"/>
      <w:szCs w:val="28"/>
    </w:rPr>
  </w:style>
  <w:style w:type="character" w:styleId="ListLabel7" w:customStyle="1">
    <w:name w:val="ListLabel 7"/>
    <w:qFormat/>
    <w:rsid w:val="00ad4056"/>
    <w:rPr>
      <w:rFonts w:ascii="Times New Roman" w:hAnsi="Times New Roman" w:cs="Times New Roman"/>
      <w:sz w:val="28"/>
      <w:szCs w:val="28"/>
    </w:rPr>
  </w:style>
  <w:style w:type="character" w:styleId="ListLabel8" w:customStyle="1">
    <w:name w:val="ListLabel 8"/>
    <w:qFormat/>
    <w:rsid w:val="00ad4056"/>
    <w:rPr>
      <w:rFonts w:ascii="Times New Roman" w:hAnsi="Times New Roman"/>
      <w:sz w:val="28"/>
      <w:szCs w:val="28"/>
    </w:rPr>
  </w:style>
  <w:style w:type="paragraph" w:styleId="Style16" w:customStyle="1">
    <w:name w:val="Заголовок"/>
    <w:basedOn w:val="Normal"/>
    <w:next w:val="Style17"/>
    <w:qFormat/>
    <w:rsid w:val="00ad4056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rsid w:val="00ad4056"/>
    <w:pPr>
      <w:spacing w:before="0" w:after="140"/>
    </w:pPr>
    <w:rPr/>
  </w:style>
  <w:style w:type="paragraph" w:styleId="Style18">
    <w:name w:val="List"/>
    <w:basedOn w:val="Style17"/>
    <w:rsid w:val="00ad4056"/>
    <w:pPr/>
    <w:rPr>
      <w:rFonts w:cs="Lucida Sans"/>
    </w:rPr>
  </w:style>
  <w:style w:type="paragraph" w:styleId="Style19" w:customStyle="1">
    <w:name w:val="Caption"/>
    <w:basedOn w:val="Normal"/>
    <w:qFormat/>
    <w:rsid w:val="00ad405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ad4056"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cs="Arial" w:eastAsia="Times New Roman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cs="Courier New" w:eastAsia="Times New Roman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cs="Arial" w:eastAsia="Times New Roman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cs="Arial" w:eastAsia="Times New Roman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cs="Courier New" w:eastAsia="Times New Roman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cs="Arial" w:eastAsia="Times New Roman"/>
      <w:color w:val="00000A"/>
      <w:kern w:val="0"/>
      <w:sz w:val="22"/>
      <w:szCs w:val="20"/>
      <w:lang w:val="ru-RU" w:eastAsia="ru-RU" w:bidi="ar-SA"/>
    </w:rPr>
  </w:style>
  <w:style w:type="paragraph" w:styleId="Style22" w:customStyle="1">
    <w:name w:val="Содержимое врезки"/>
    <w:basedOn w:val="Normal"/>
    <w:qFormat/>
    <w:rsid w:val="00ad4056"/>
    <w:pPr/>
    <w:rPr/>
  </w:style>
  <w:style w:type="paragraph" w:styleId="Style23">
    <w:name w:val="Body Text Indent"/>
    <w:basedOn w:val="Normal"/>
    <w:rsid w:val="00ad4056"/>
    <w:pPr>
      <w:ind w:firstLine="720"/>
      <w:jc w:val="both"/>
    </w:pPr>
    <w:rPr>
      <w:rFonts w:ascii="Times New Roman" w:hAnsi="Times New Roman"/>
      <w:color w:val="000000"/>
      <w:sz w:val="28"/>
      <w:szCs w:val="28"/>
    </w:rPr>
  </w:style>
  <w:style w:type="paragraph" w:styleId="ConsNormal1" w:customStyle="1">
    <w:name w:val="ConsNormal Знак"/>
    <w:qFormat/>
    <w:rsid w:val="00ad4056"/>
    <w:pPr>
      <w:widowControl w:val="false"/>
      <w:suppressAutoHyphens w:val="true"/>
      <w:bidi w:val="0"/>
      <w:ind w:firstLine="720"/>
      <w:jc w:val="left"/>
    </w:pPr>
    <w:rPr>
      <w:rFonts w:ascii="Arial" w:hAnsi="Arial" w:cs="Arial" w:eastAsia="Times New Roman"/>
      <w:color w:val="00000A"/>
      <w:kern w:val="0"/>
      <w:sz w:val="22"/>
      <w:szCs w:val="20"/>
      <w:lang w:eastAsia="zh-CN" w:val="ru-RU" w:bidi="ar-SA"/>
    </w:rPr>
  </w:style>
  <w:style w:type="paragraph" w:styleId="PlainText">
    <w:name w:val="Plain Text"/>
    <w:basedOn w:val="Normal"/>
    <w:qFormat/>
    <w:rsid w:val="00ad4056"/>
    <w:pPr/>
    <w:rPr>
      <w:rFonts w:ascii="Courier New" w:hAnsi="Courier New" w:cs="Courier New"/>
      <w:color w:val="000000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LibreOffice/6.0.3.2$Windows_x86 LibreOffice_project/8f48d515416608e3a835360314dac7e47fd0b821</Application>
  <Pages>6</Pages>
  <Words>1400</Words>
  <Characters>10150</Characters>
  <CharactersWithSpaces>12016</CharactersWithSpaces>
  <Paragraphs>69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2019-11-06T11:05:00Z</cp:lastPrinted>
  <dcterms:modified xsi:type="dcterms:W3CDTF">2019-11-07T14:40:29Z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